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5355190B" w14:paraId="75286D87" wp14:textId="2A9474EF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24"/>
          <w:szCs w:val="24"/>
          <w:lang w:val="sk-SK"/>
        </w:rPr>
      </w:pPr>
      <w:r w:rsidRPr="5355190B" w:rsidR="0BAAF97D"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24"/>
          <w:szCs w:val="24"/>
          <w:u w:val="none"/>
          <w:lang w:val="sk-SK"/>
        </w:rPr>
        <w:t>Pamiatková zóna a národné kultúrne pamiatky:</w:t>
      </w:r>
      <w:r w:rsidRPr="5355190B" w:rsidR="0BAAF97D"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noProof w:val="0"/>
          <w:color w:val="FB9695"/>
          <w:sz w:val="24"/>
          <w:szCs w:val="24"/>
          <w:lang w:val="sk-SK"/>
        </w:rPr>
        <w:t xml:space="preserve"> </w:t>
      </w:r>
    </w:p>
    <w:p xmlns:wp14="http://schemas.microsoft.com/office/word/2010/wordml" w:rsidP="5355190B" w14:paraId="00440428" wp14:textId="72BB63EA">
      <w:pPr>
        <w:spacing w:after="160" w:line="259" w:lineRule="auto"/>
        <w:rPr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lang w:val="sk-SK"/>
        </w:rPr>
      </w:pPr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Územie sa rozprestiera v Pamiatkovej zóne Centrálna mestská oblasť Bratislavy (CMO), na ktorú sa vzťahujú špecifické podmienky pri usmerňovaní rozvoja.</w:t>
      </w:r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8"/>
          <w:szCs w:val="18"/>
          <w:lang w:val="sk-SK"/>
        </w:rPr>
        <w:t xml:space="preserve"> </w:t>
      </w:r>
    </w:p>
    <w:p xmlns:wp14="http://schemas.microsoft.com/office/word/2010/wordml" w:rsidP="5355190B" w14:paraId="13835DDF" wp14:textId="71C2BCBF">
      <w:pPr>
        <w:spacing w:after="160" w:line="259" w:lineRule="auto"/>
        <w:rPr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lang w:val="sk-SK"/>
        </w:rPr>
      </w:pPr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 xml:space="preserve">Budovy Stanica 1. parnej železnice, Sklad č. I. a II.,, časť koľajiska pred budovou parnej železnice v tzv. pozícii dvor,  sú národnými kultúrnymi pamiatkami, nachádzajú sa v rámci Centrálnej mestskej oblasti v oblasti a súčasne sektore železničnej stanice a priľahlých území. Budovy v bezprostrednej blízkosti riešeného územia ako sú </w:t>
      </w:r>
      <w:proofErr w:type="spellStart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Palugyayov</w:t>
      </w:r>
      <w:proofErr w:type="spellEnd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 xml:space="preserve"> </w:t>
      </w:r>
      <w:proofErr w:type="spellStart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palac</w:t>
      </w:r>
      <w:proofErr w:type="spellEnd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 xml:space="preserve"> a Nájomné </w:t>
      </w:r>
      <w:proofErr w:type="spellStart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odmy</w:t>
      </w:r>
      <w:proofErr w:type="spellEnd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 xml:space="preserve"> </w:t>
      </w:r>
      <w:proofErr w:type="spellStart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Šancová</w:t>
      </w:r>
      <w:proofErr w:type="spellEnd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 xml:space="preserve"> 2,4,6,. sú taktiež NKP. Ďalšie budovy sú </w:t>
      </w:r>
      <w:proofErr w:type="spellStart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pamatihodnosti</w:t>
      </w:r>
      <w:proofErr w:type="spellEnd"/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 xml:space="preserve"> alebo sú významnejšie z hľadiska územných a historických súvislostí.</w:t>
      </w:r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8"/>
          <w:szCs w:val="18"/>
          <w:lang w:val="sk-SK"/>
        </w:rPr>
        <w:t xml:space="preserve"> </w:t>
      </w:r>
    </w:p>
    <w:p xmlns:wp14="http://schemas.microsoft.com/office/word/2010/wordml" w:rsidP="5355190B" w14:paraId="562378A8" wp14:textId="0E100F86">
      <w:pPr>
        <w:spacing w:after="160" w:line="259" w:lineRule="auto"/>
        <w:rPr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lang w:val="sk-SK"/>
        </w:rPr>
      </w:pPr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18"/>
          <w:szCs w:val="18"/>
          <w:u w:val="none"/>
          <w:lang w:val="sk-SK"/>
        </w:rPr>
        <w:t>Pre viac informácií viď iď obr. č.2 a č.3. a prílohu č. xx Zásady ochrany pamiatkového územia ...</w:t>
      </w:r>
      <w:r w:rsidRPr="5355190B" w:rsidR="0BAAF97D">
        <w:rPr>
          <w:rStyle w:val="cf01"/>
          <w:rFonts w:ascii="Segoe UI" w:hAnsi="Segoe UI" w:eastAsia="Segoe UI" w:cs="Segoe U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8"/>
          <w:szCs w:val="18"/>
          <w:lang w:val="sk-SK"/>
        </w:rPr>
        <w:t xml:space="preserve"> </w:t>
      </w:r>
    </w:p>
    <w:p xmlns:wp14="http://schemas.microsoft.com/office/word/2010/wordml" w:rsidP="5355190B" w14:paraId="2115BA69" wp14:textId="34572E73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28"/>
          <w:szCs w:val="28"/>
          <w:lang w:val="sk-SK"/>
        </w:rPr>
      </w:pPr>
    </w:p>
    <w:p xmlns:wp14="http://schemas.microsoft.com/office/word/2010/wordml" w:rsidP="5355190B" w14:paraId="1E8C512F" wp14:textId="12B06402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2"/>
          <w:szCs w:val="22"/>
          <w:lang w:val="sk-SK"/>
        </w:rPr>
      </w:pPr>
      <w:r w:rsidR="0BAAF97D">
        <w:drawing>
          <wp:inline xmlns:wp14="http://schemas.microsoft.com/office/word/2010/wordprocessingDrawing" wp14:editId="3BE00D3D" wp14:anchorId="4B3EB12F">
            <wp:extent cx="5724524" cy="4048125"/>
            <wp:effectExtent l="0" t="0" r="0" b="0"/>
            <wp:docPr id="1596902811" name="" descr="Obrázok, na ktorom je mapa&#10;&#10;Automaticky generovaný popis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5c5bd3c0a4146b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355190B" w14:paraId="0A23EE84" wp14:textId="02B49FA0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18"/>
          <w:szCs w:val="18"/>
          <w:lang w:val="sk-SK"/>
        </w:rPr>
      </w:pPr>
      <w:r w:rsidRPr="5355190B" w:rsidR="0BAAF97D"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18"/>
          <w:szCs w:val="18"/>
          <w:u w:val="none"/>
          <w:lang w:val="sk-SK"/>
        </w:rPr>
        <w:t>Obr. č. 2  Grafické znázornenie rozsahu pamiatkovej zóny</w:t>
      </w:r>
    </w:p>
    <w:p xmlns:wp14="http://schemas.microsoft.com/office/word/2010/wordml" w:rsidP="5355190B" w14:paraId="3E014793" wp14:textId="7F83AD03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2"/>
          <w:szCs w:val="22"/>
          <w:lang w:val="sk-SK"/>
        </w:rPr>
      </w:pPr>
      <w:r w:rsidRPr="5355190B" w:rsidR="0BAAF97D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2"/>
          <w:szCs w:val="22"/>
          <w:u w:val="none"/>
          <w:lang w:val="sk-SK"/>
        </w:rPr>
        <w:t xml:space="preserve">   </w:t>
      </w:r>
    </w:p>
    <w:p xmlns:wp14="http://schemas.microsoft.com/office/word/2010/wordml" w:rsidP="5355190B" w14:paraId="60B57A57" wp14:textId="37BB6DB8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2"/>
          <w:szCs w:val="22"/>
          <w:lang w:val="sk-SK"/>
        </w:rPr>
      </w:pPr>
    </w:p>
    <w:p xmlns:wp14="http://schemas.microsoft.com/office/word/2010/wordml" w:rsidP="5355190B" w14:paraId="3188008A" wp14:textId="6608D1C2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000000" w:themeColor="text1" w:themeTint="FF" w:themeShade="FF"/>
          <w:sz w:val="22"/>
          <w:szCs w:val="22"/>
          <w:lang w:val="sk-SK"/>
        </w:rPr>
      </w:pPr>
      <w:r w:rsidR="0BAAF97D">
        <w:drawing>
          <wp:inline xmlns:wp14="http://schemas.microsoft.com/office/word/2010/wordprocessingDrawing" wp14:editId="733BB5C1" wp14:anchorId="531CF882">
            <wp:extent cx="5724524" cy="3838575"/>
            <wp:effectExtent l="0" t="0" r="0" b="0"/>
            <wp:docPr id="4563139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80d24787bc14e2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355190B" w14:paraId="51E660C8" wp14:textId="772ABA68">
      <w:pP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18"/>
          <w:szCs w:val="18"/>
          <w:lang w:val="sk-SK"/>
        </w:rPr>
      </w:pPr>
      <w:r w:rsidRPr="5355190B" w:rsidR="0BAAF97D"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strike w:val="0"/>
          <w:dstrike w:val="0"/>
          <w:noProof w:val="0"/>
          <w:color w:val="FB9695"/>
          <w:sz w:val="18"/>
          <w:szCs w:val="18"/>
          <w:u w:val="none"/>
          <w:lang w:val="sk-SK"/>
        </w:rPr>
        <w:t>Obr. č. 3  Grafické znázornenie budov s rôznymi stupňami pamiatkovej ochrany</w:t>
      </w:r>
    </w:p>
    <w:p xmlns:wp14="http://schemas.microsoft.com/office/word/2010/wordml" w:rsidP="5355190B" w14:paraId="17013AAC" wp14:textId="202A5C9D">
      <w:pPr>
        <w:pStyle w:val="Normal"/>
        <w:rPr>
          <w:strike w:val="0"/>
          <w:dstrike w:val="0"/>
        </w:rPr>
      </w:pP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D84CB84"/>
    <w:rsid w:val="0BAAF97D"/>
    <w:rsid w:val="5355190B"/>
    <w:rsid w:val="6D84C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84CB84"/>
  <w15:chartTrackingRefBased/>
  <w15:docId w15:val="{01FBC30B-CD57-4298-B81E-D04CB7E4E88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cf01" w:customStyle="true">
    <w:uiPriority w:val="1"/>
    <w:name w:val="cf01"/>
    <w:basedOn w:val="DefaultParagraphFont"/>
    <w:rsid w:val="5355190B"/>
    <w:rPr>
      <w:rFonts w:ascii="Segoe UI" w:hAnsi="Segoe UI" w:eastAsia="Calibri" w:cs="Segoe UI" w:eastAsiaTheme="minorAsci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75c5bd3c0a4146b4" /><Relationship Type="http://schemas.openxmlformats.org/officeDocument/2006/relationships/image" Target="/media/image2.png" Id="R180d24787bc14e27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2022-12-21T09:02:18.0442217Z</dcterms:created>
  <dcterms:modified xsi:type="dcterms:W3CDTF">2022-12-21T09:03:04.7437898Z</dcterms:modified>
  <dc:creator>Hnidková Katarína, Ing. arch.</dc:creator>
  <lastModifiedBy>Hnidková Katarína, Ing. arch.</lastModifiedBy>
</coreProperties>
</file>